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вул. Героїв Праці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A2B" w:rsidRPr="00295A2B">
        <w:rPr>
          <w:rFonts w:ascii="Times New Roman" w:eastAsia="Times New Roman" w:hAnsi="Times New Roman"/>
          <w:sz w:val="28"/>
          <w:szCs w:val="28"/>
          <w:lang w:eastAsia="ru-RU"/>
        </w:rPr>
        <w:t>UA-2021-05-18-002814-c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295A2B">
        <w:rPr>
          <w:rFonts w:ascii="Times New Roman" w:hAnsi="Times New Roman"/>
          <w:sz w:val="28"/>
          <w:szCs w:val="28"/>
        </w:rPr>
        <w:t>55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295A2B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295A2B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205 072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A2B">
        <w:rPr>
          <w:rFonts w:ascii="Times New Roman" w:eastAsia="Times New Roman" w:hAnsi="Times New Roman"/>
          <w:sz w:val="28"/>
          <w:szCs w:val="28"/>
          <w:lang w:eastAsia="ru-RU"/>
        </w:rPr>
        <w:t>205 072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5A2B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25C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2021-05-18T14:45:00Z</dcterms:modified>
</cp:coreProperties>
</file>